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245" w:before="28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Программа подготовительных курсов по математике</w:t>
      </w:r>
    </w:p>
    <w:p>
      <w:pPr>
        <w:pStyle w:val="Normal"/>
        <w:shd w:val="clear" w:fill="FFFFFF"/>
        <w:spacing w:lineRule="atLeast" w:line="245" w:before="28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>
      <w:pPr>
        <w:pStyle w:val="Normal"/>
        <w:shd w:val="clear" w:fill="FFFFFF"/>
        <w:spacing w:lineRule="atLeast" w:line="245" w:before="28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Продолжительность курса: с 2 октября 2017 г. по 25 мая 2018 г.</w:t>
        <w:br/>
        <w:t>Запись на курсы до 30 сентября 2017 г.</w:t>
        <w:br/>
        <w:t>Срок обучения: 8 месяцев / 33 занятия / 66 ак. часов (1 ак. час = 45 минут</w:t>
      </w:r>
    </w:p>
    <w:p>
      <w:pPr>
        <w:pStyle w:val="Normal"/>
        <w:shd w:val="clear" w:fill="FFFFFF"/>
        <w:spacing w:lineRule="atLeast" w:line="210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Программа подготовительных курсов основана на повторении, систематизации и углублении знаний полученных в школе. Занятия проходят в форме свободного практического урока и состоят из обобщённой теоретической части и практической части, где слушателям предлагается решить задания схожие с заданиями вошедшими в ЕГЭ прошлых лет или же удовлетворяющие перечни контролируемых вопросов. На курсах также рассматриваются иные, нежели привычные, подходы к решению задач, позволяющие сэкономить время на ЕГЭ.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Целью предлагаемой программы является не только подготовка кЕГЭ и вступительному экзамену по математике, но и обучение приёмам самостоятельной деятельности и творческому подходу к любой проблеме.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Курс рассчитан на 66 часа. Данная программа курса сможет привлечь внимание учащихся, которым интересна математика, кому она понадобится при учебе, подготовке к различного рода экзаменам, в частности, к ЕГЭ. Слушателями этого курса могут быть учащиеся различного профиля обучения.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 При проверке результатов может быть использован компьютер.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>
      <w:pPr>
        <w:pStyle w:val="Normal"/>
        <w:numPr>
          <w:ilvl w:val="0"/>
          <w:numId w:val="1"/>
        </w:numPr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основе коррекции базовых математических знаний учащихся за курс 5 – 10 классов совершенствовать математическую культуру и творческие способности учащихся. Расширение и углубление знаний, полученных при изучении курса математики.</w:t>
      </w:r>
    </w:p>
    <w:p>
      <w:pPr>
        <w:pStyle w:val="Normal"/>
        <w:numPr>
          <w:ilvl w:val="0"/>
          <w:numId w:val="1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>
      <w:pPr>
        <w:pStyle w:val="Normal"/>
        <w:numPr>
          <w:ilvl w:val="0"/>
          <w:numId w:val="1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формирования и развития у обучающихся навыков анализа и систематизации полученных ранее знаний; подготовка к итоговой аттестации.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Реализация индивидуализации обучения; удовлетворение образовательных потребностей школьников по математике.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Подготовка к обучению в ВУЗе.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Обеспечение усвоения обучающимися наиболее общих приемов и способов решения задач. Развитие умений самостоятельно анализировать и решать задачи по образцу и в незнакомой ситуации;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и развитие аналитического и логического мышления.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Расширение математического представления учащихся по определённым темам, включённым в программы вступительных экзаменов в другие типы учебных заведений.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Развитие коммуникативных и общеучебных навыков работы в группе, самостоятельной работы, умений вести дискуссию, аргументировать ответы.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Предметной компетенцией</w:t>
      </w:r>
      <w:r>
        <w:rPr>
          <w:rFonts w:cs="Times New Roman" w:ascii="Times New Roman" w:hAnsi="Times New Roman"/>
          <w:sz w:val="28"/>
          <w:szCs w:val="28"/>
        </w:rPr>
        <w:t xml:space="preserve"> понимается осведомленность школьников о системе основных        математических представлений и овладение ими основными предметными умениями.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Знать: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Уметь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: создавать простейшие математические модели, работать с ними и интерпретировать полученные результаты;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Применять эти знания и умения для решения многих жизненных задач.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Коммуникативная компетенция.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Уметь: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Организационная компетенция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Умения самостоятельно находить и присваивать необходимые учащимся новые знания. 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Уметь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b/>
          <w:sz w:val="28"/>
          <w:szCs w:val="28"/>
        </w:rPr>
        <w:t>Общекультурная компетенция.</w:t>
      </w:r>
      <w:r>
        <w:rPr>
          <w:rFonts w:cs="Times New Roman" w:ascii="Times New Roman" w:hAnsi="Times New Roman"/>
          <w:sz w:val="28"/>
          <w:szCs w:val="28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 формировании таких значимых черт личности, как независимость и критичность мышления, воля и настойчивость в достижении цели и др.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курса: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Краткость изучения материала.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Практическая значимость для учащихся.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245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 материала по геометрии.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учащихся.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 и успешной сдачи ЕГЭ по математике.</w:t>
      </w:r>
    </w:p>
    <w:p>
      <w:pPr>
        <w:pStyle w:val="Normal"/>
        <w:shd w:val="clear" w:fill="FFFFFF"/>
        <w:spacing w:lineRule="atLeast" w:line="315" w:before="280" w:after="0"/>
        <w:ind w:left="0" w:right="0" w:firstLine="547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tbl>
      <w:tblPr>
        <w:tblW w:w="933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9" w:type="dxa"/>
          <w:bottom w:w="0" w:type="dxa"/>
          <w:right w:w="115" w:type="dxa"/>
        </w:tblCellMar>
      </w:tblPr>
      <w:tblGrid>
        <w:gridCol w:w="705"/>
        <w:gridCol w:w="7665"/>
        <w:gridCol w:w="968"/>
      </w:tblGrid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Кол-во часов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Преобразование числовых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Преобразование дробных рациональных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Степень, решение степенных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Определение степени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Свойства степени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Тождественные преобразования степенных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степенных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Логарифм, решение логарифмических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Определение логарифма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Свойства логарифма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Тождественные преобразования логарифмических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логарифмических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Радикал, решение иррациональных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Определение радикала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Свойства корней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Тождественные преобразования иррациональных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иррациональных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Решение неравенств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рациональных и дробных рациональных неравенств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иррациональных неравенств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степенных неравенств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логарифмических неравенств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Тригонометрия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Определение синуса, косинуса, тангенса, котангенса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Тождественные преобразования тригонометрических выражений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геометрический смысл производной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физический смысл производной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нахождение наибольшего и наименьшего значения функции на отрезке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Решение задач по планиметрии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Треугольники,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Четырёхугольники,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Вписанные и описанные окружности,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Площади,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Решение задач по стереометрии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Призмы,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Пирамиды,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Тела вращения,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Объемы, решение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совместную работу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Решение задач на смеси и сплавы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0" w:after="0"/>
              <w:rPr>
                <w:rFonts w:ascii="Georgia" w:hAnsi="Georgia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sz w:val="24"/>
                <w:szCs w:val="24"/>
                <w:lang w:eastAsia="ru-RU"/>
              </w:rPr>
            </w:r>
          </w:p>
        </w:tc>
        <w:tc>
          <w:tcPr>
            <w:tcW w:w="7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FFFFFF" w:val="clear"/>
            <w:tcMar>
              <w:left w:w="99" w:type="dxa"/>
            </w:tcMar>
          </w:tcPr>
          <w:p>
            <w:pPr>
              <w:pStyle w:val="Normal"/>
              <w:spacing w:lineRule="auto" w:line="240" w:before="280" w:after="280"/>
              <w:rPr>
                <w:rFonts w:ascii="Georgia" w:hAnsi="Georgia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Georgia" w:hAnsi="Georgia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</w:tbl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Изучение данного курса дает учащимся возможность: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повторить и систематизировать ранее изученный материал школьного курса математики;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освоить основные приемы решения задач;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овладеть навыками построения и анализа предполагаемого решения поставленной задачи;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овладеть и пользоваться на практике техникой сдачи теста;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познакомиться и использовать на практике нестандартные методы решения задач;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повысить уровень своей математической культуры, творческого развития, познавательной активности;</w:t>
      </w:r>
    </w:p>
    <w:p>
      <w:pPr>
        <w:pStyle w:val="Normal"/>
        <w:shd w:val="clear" w:fill="FFFFFF"/>
        <w:spacing w:lineRule="atLeast" w:line="245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>4.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>Рекомендуемая литература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28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ЕГЭ 2012. Математика. Типовые тестовые задания /Под ред. А.Л.Семенова, И.В.Ященко – М.: Издательство «Экзамен», 2012. – 95с.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Самое полное издание типовых вариантов заданий ЕГЭ 2012: Математика /Под ред. А.Л.Семенова, И.В.Ященко. – М.: АСТ, Астрель, 2011. – 93 с. 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ЕГЭ 2012. Математика: типовые экзаменационные варианты – 30 вариантов задания /Под ред. А.Л.Семенова, И.В.Ященко – М.: Национальное образование, 2011. – 192 с.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40" w:before="0" w:after="28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Панферов В.С. Отличник ЕГЭ. Математика. Решение сложных задач /В.С.Панферов, И.Н.Сергеев; ФИПИ – М.: Интеллект-Центр, 2010. – 80с.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>5. Информационные ресурсы в сети Интернет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http://ege.edu.ru портал информационной поддержки проекта «Единый государственный экзамен»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http://fipi.ru сайт Федерального института педагогических измерений (ФИПИ)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http://mathege.ru Открытый банк задач ЕГЭ по математике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http//i-exam.ru тестирование в сфере образования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http://uztest.ru подготовка к ЕГЭ по математике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br/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http://techn.sstu.ru сайт Энгельсского технологического института (филиала) СГТУ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ru-RU" w:eastAsia="zh-CN" w:bidi="hi-IN"/>
    </w:rPr>
  </w:style>
  <w:style w:type="character" w:styleId="ListLabel10">
    <w:name w:val="ListLabel 10"/>
    <w:qFormat/>
    <w:rPr>
      <w:rFonts w:ascii="Georgia" w:hAnsi="Georgia"/>
      <w:sz w:val="21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b/>
      <w:sz w:val="2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 w:cs="Symbol"/>
      <w:sz w:val="28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ascii="Times New Roman" w:hAnsi="Times New Roman" w:cs="Symbol"/>
      <w:b/>
      <w:sz w:val="28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LibreOffice/5.4.3.2$Linux_x86 LibreOffice_project/40m0$Build-2</Application>
  <Pages>12</Pages>
  <Words>1125</Words>
  <Characters>7629</Characters>
  <CharactersWithSpaces>8628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2017-12-04T12:33:55Z</dcterms:created>
  <dc:creator/>
  <dc:description/>
  <dc:language>ru-RU</dc:language>
  <cp:lastModifiedBy/>
  <dcterms:modified xsi:type="dcterms:W3CDTF">2017-12-04T13:32:07Z</dcterms:modified>
  <cp:revision>1</cp:revision>
  <dc:subject/>
  <dc:title/>
</cp:coreProperties>
</file>